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30" w:rsidRPr="009A64E8" w:rsidRDefault="00B52230" w:rsidP="00B52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6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</w:t>
      </w:r>
      <w:r w:rsidRPr="009A6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заболеван</w:t>
      </w:r>
      <w:bookmarkStart w:id="0" w:name="_GoBack"/>
      <w:bookmarkEnd w:id="0"/>
      <w:r w:rsidRPr="009A6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 (состояний), при наличии которых устанавливается группа диспансерного наблюдения врачом-терапевтом</w:t>
      </w:r>
    </w:p>
    <w:p w:rsidR="00B52230" w:rsidRPr="009A64E8" w:rsidRDefault="00B52230" w:rsidP="00B5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0" w:type="dxa"/>
        <w:tblCellMar>
          <w:left w:w="0" w:type="dxa"/>
          <w:right w:w="0" w:type="dxa"/>
        </w:tblCellMar>
        <w:tblLook w:val="04A0"/>
      </w:tblPr>
      <w:tblGrid>
        <w:gridCol w:w="715"/>
        <w:gridCol w:w="3390"/>
        <w:gridCol w:w="1672"/>
        <w:gridCol w:w="2067"/>
        <w:gridCol w:w="2326"/>
      </w:tblGrid>
      <w:tr w:rsidR="00B52230" w:rsidRPr="009A64E8" w:rsidTr="00B52230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Заболевание (состояние), по поводу которого проводится диспансерное наблюдение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Периодичность осмотров</w:t>
            </w:r>
          </w:p>
        </w:tc>
        <w:tc>
          <w:tcPr>
            <w:tcW w:w="2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Длительность диспансерного наблюдения</w:t>
            </w:r>
          </w:p>
        </w:tc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Хроническая ишемическая болезнь сердца без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жизнеугрожающих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нарушений ритма, ХСН</w:t>
            </w:r>
            <w:hyperlink r:id="rId6" w:anchor="block_111" w:history="1">
              <w:r w:rsidRPr="009A64E8">
                <w:rPr>
                  <w:rFonts w:ascii="Times New Roman" w:eastAsia="Times New Roman" w:hAnsi="Times New Roman" w:cs="Times New Roman"/>
                  <w:bCs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не более II функционального класса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врача-кардиолога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 после перенесенного инфаркта миокарда по прошествии более 12 месяцев, при отсутствии стенокардии или при наличии стенокардии I-II функционального класса со стабильным течением, ХСН не более II функционального класса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врача-кардиолога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Стенокардия напряжения I-II функционального класса со стабильным течением у лиц трудоспособного возраста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2-4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врача-кардиолога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Стенокардия напряжения I-IV функционального класса со стабильным течением у лиц пенсионного возраста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2-4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врача-кардиолога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Артериальная гипертония 1-3 степени у лиц с контролируемым артериальным давлением на фоне приема гипотензивных лекарственных препаратов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врача-кардиолога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Легочная гипертензия I-II функционального класса со стабильным течением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врача-кардиолога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Состояние после перенесенного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неосложненного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хирургического и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рентгенэндоваскулярного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лечения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заболеваний по прошествии 6 месяцев от даты операции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течение первых 6 месяцев, далее - 1-2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рекомендации врача-кардиолога, врача-сердечно-сосудистого хирурга, врача по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эндоваскулярным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диагностике и лечению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врача-кардиолога, врача-сердечно-сосудистого хирурга, врача по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эндоваскулярным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диагностике и лечению по </w:t>
            </w: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Состояние после перенесенного осложненного хирургического и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рентгенэндоваскулярного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лечения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заболеваний по прошествии более 12 месяцев от даты операции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течение первых 6 месяцев, далее - 2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рекомендации врача-кардиолога, врача-сердечно-сосудистого хирурга, врача по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эндоваскулярным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диагностике и лечению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врача-кардиолога, врача-сердечно-сосудистого хирурга, врача по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эндоваскулярным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диагностике и лечению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ХСН I-III функционального класса, стабильное состояние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1 - 2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врача-кардиолога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Фибрилляция и (или) трепетание предсердий (пароксизмальная и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персистирующая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формы на фоне эффективной профилактической антиаритмической терапии)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врача-кардиолога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Фибрилляция и (или) трепетание предсердий (пароксизмальная,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персистириующая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постоянная формы с эффективным контролем частоты сердечных сокращений на фоне приема лекарственных препаратов)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врача-кардиолога по медицинским показаниям</w:t>
            </w:r>
          </w:p>
        </w:tc>
      </w:tr>
      <w:tr w:rsidR="00B52230" w:rsidRPr="009A64E8" w:rsidTr="00464161">
        <w:trPr>
          <w:trHeight w:val="170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Предсердная и желудочковая экстрасистолия,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наджелудочковые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желудочковые тахикардии на фоне эффективной профилактической антиаритмической терапии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врача-кардиолога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Эзофагит (эозинофильный, химический, лекарственный)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3 лет с момента последнего обострения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врача-гастроэнтеролога 1 раз в год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Гастроэзофагеальный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рефлюкс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эзофагитом (без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цилиндроклеточной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метаплазии - пищевода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Баррета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3 лет с момента последнего обострения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врача-гастроэнтеролога 1 раз в год</w:t>
            </w:r>
          </w:p>
        </w:tc>
      </w:tr>
      <w:tr w:rsidR="00B52230" w:rsidRPr="009A64E8" w:rsidTr="00464161">
        <w:trPr>
          <w:trHeight w:val="103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Язвенная болезнь желудка, неосложненное течение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5 лет с момента последнего </w:t>
            </w: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обострения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Прием (осмотр, консультация) врача-онколога по </w:t>
            </w: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Язвенная болезнь двенадцатиперстной кишки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5 лет с момента последнего обострения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врача-гастроэнтеролога 1 раз в год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Хронический атрофический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фундальный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мультифокальный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гастрит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всей жизни с момента установления диагноза (или до выявления опухоли)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врача-гастроэнтеролога 1 раз в год, прием (осмотр, консультация) врача-онколога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Полипы (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полипоз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желудка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врача-гастроэнтеролога 1 раз в год, прием (осмотр, консультация) врача-онколога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Дивертикулярная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болезнь кишечника, легкое течение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6 месяцев, при отсутствии рецидива в течение 3 лет - 1 раз в 12 или 24 месяцев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всей жизни с момента установления диагноза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врача-гастроэнтеролога,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врача-колопроктолога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Полипоз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кишечника, семейный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полипоз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толстой кишки, синдром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Гартнера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синдром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Пейца-Егерса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синдром Турко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врача-онколога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всей жизни с момента установления диагноза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врача-онколога 1 раз в год, прием (осмотр, консультация) врача-гастроэнтеролога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 после резекции желудка (по прошествии более 2 лет после операции)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врача-онколога по прошествии 10 лет после операции или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Рубцовая стриктура пищевода, не требующая оперативного лечения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врача-онколога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врача-онколога 1 раз в 3 года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Рецидивирующий и хронический бронхиты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врача-пульмонолога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врача-пульмонолога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врача-пульмонолога, врача-онколога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болезнь легких нетяжелого течения без осложнений, в стабильном состоянии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врача-пульмонолога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врача-пульмонолога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врача-пульмонолога 1 раз в год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Посттуберкулезные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постпневмонические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изменения в легких без дыхательной недостаточности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врача-пульмонолога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врача-пульмонолога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врача-пульмонолога 1 раз в течение первого года наблюдения, в последующем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 после перенесенного плеврита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врача-пульмонолога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врача-пульмонолога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врача-пульмонолога 1 раз в течение первого года наблюдения, в последующем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Бронхиальная астма (контролируемая на фоне приема лекарственных препаратов)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врача-пульмонолога или врача-аллерголога-иммунолога 1 раз в год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Пациенты, перенесшие острую почечную недостаточность, в стабильном состоянии, с хронической почечной недостаточностью 1 стадии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врача-нефролога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врача-нефролога 1 раз в год с определением тактики диспансерного наблюдения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Пациенты, страдающие хронической болезнью почек (независимо от ее причины и стадии), в стабильном состоянии с хронической почечной недостаточностью 1 стадии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врача-нефролога 1 раз в год с определением тактики диспансерного наблюдения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Пациенты, относящиеся к группам риска поражения почек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врача-нефролога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врача-нефролога по медицинским </w:t>
            </w: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показаниям с определением тактики диспансерного наблюдения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Остеопороз первичный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год или по рекомендации врача-акушера-гинеколога, врача-эндокринолога, врача-ревматолога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(для женщин с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остеопорозом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развившимся в течение 3 лет после наступления менопаузы), врача-эндокринолога, врача-ревматолога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Инсулиннезависимый сахарный диабет (2 тип)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врача-эндокринолога или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врача-диабетолога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медицинским показаниям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Инсулинзависимый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сахарный диабет (2 тип) с подобранной дозой инсулина и стабильным течением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врача-эндокринолога или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врача-диабетолога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раз в 12 месяцев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Последствия перенесенных острых нарушений мозгового кровообращения со стабильным течением по прошествии 6 месяцев после острого периода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1-2 раза в 6 месяцев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врача-невролога 1-2 раза в год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Деменции, иные состояния, сопровождающиеся когнитивными нарушениями, со стабильным течением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1-2 раза в год или по рекомендации врача-невролога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рекомендации врача-невролога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врача-невролога 1-2 раза в год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Последствия легких черепно-мозговых травм, не сопровождавшихся нейрохирургическим вмешательством, со стабильным течением по прошествии 6 месяцев после травмы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1 -2 раза в год или по рекомендации врача-невролога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выздоровления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врача-невролога 1 раз в год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Последствия травмы нервной системы, сопровождавшейся нейрохирургическим вмешательством, со стабильным </w:t>
            </w: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течением по истечении 6 месяцев после операции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1-2 раза в 6 месяцев или по рекомендации врача-</w:t>
            </w: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невролога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 рекомендации врача-невролога, врача-нейрохирурга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врача-невролога 1-2 раза в год</w:t>
            </w:r>
          </w:p>
        </w:tc>
      </w:tr>
      <w:tr w:rsidR="00B52230" w:rsidRPr="009A64E8" w:rsidTr="00B52230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Стеноз внутренней сонной артерии от 40 до 70 %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230" w:rsidRPr="009A64E8" w:rsidRDefault="00B52230" w:rsidP="00B52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врача-сосудистого хирурга, врача по </w:t>
            </w:r>
            <w:proofErr w:type="spellStart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эндоваскулярным</w:t>
            </w:r>
            <w:proofErr w:type="spellEnd"/>
            <w:r w:rsidRPr="009A6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диагностике и лечению (при стенозе внутренней сонной артерии 70 % и более)</w:t>
            </w:r>
          </w:p>
        </w:tc>
      </w:tr>
    </w:tbl>
    <w:p w:rsidR="000273AA" w:rsidRPr="009A64E8" w:rsidRDefault="00B52230">
      <w:pPr>
        <w:rPr>
          <w:rFonts w:ascii="Times New Roman" w:hAnsi="Times New Roman" w:cs="Times New Roman"/>
          <w:sz w:val="24"/>
          <w:szCs w:val="24"/>
        </w:rPr>
      </w:pPr>
      <w:r w:rsidRPr="009A6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sectPr w:rsidR="000273AA" w:rsidRPr="009A64E8" w:rsidSect="00B52230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CF" w:rsidRDefault="00F23ACF" w:rsidP="00464161">
      <w:pPr>
        <w:spacing w:after="0" w:line="240" w:lineRule="auto"/>
      </w:pPr>
      <w:r>
        <w:separator/>
      </w:r>
    </w:p>
  </w:endnote>
  <w:endnote w:type="continuationSeparator" w:id="0">
    <w:p w:rsidR="00F23ACF" w:rsidRDefault="00F23ACF" w:rsidP="0046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CF" w:rsidRDefault="00F23ACF" w:rsidP="00464161">
      <w:pPr>
        <w:spacing w:after="0" w:line="240" w:lineRule="auto"/>
      </w:pPr>
      <w:r>
        <w:separator/>
      </w:r>
    </w:p>
  </w:footnote>
  <w:footnote w:type="continuationSeparator" w:id="0">
    <w:p w:rsidR="00F23ACF" w:rsidRDefault="00F23ACF" w:rsidP="0046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984"/>
      <w:gridCol w:w="4984"/>
    </w:tblGrid>
    <w:tr w:rsidR="00464161" w:rsidRPr="0073274E" w:rsidTr="00DF1A4F">
      <w:tc>
        <w:tcPr>
          <w:tcW w:w="4984" w:type="dxa"/>
          <w:shd w:val="clear" w:color="auto" w:fill="auto"/>
          <w:vAlign w:val="center"/>
        </w:tcPr>
        <w:p w:rsidR="00464161" w:rsidRDefault="00464161" w:rsidP="00DF1A4F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673225" cy="387985"/>
                <wp:effectExtent l="19050" t="0" r="3175" b="0"/>
                <wp:docPr id="1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22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  <w:vAlign w:val="center"/>
        </w:tcPr>
        <w:p w:rsidR="00464161" w:rsidRPr="0073274E" w:rsidRDefault="00464161" w:rsidP="00DF1A4F">
          <w:pPr>
            <w:pStyle w:val="a3"/>
            <w:jc w:val="right"/>
            <w:rPr>
              <w:rFonts w:cs="Arial"/>
              <w:color w:val="595959"/>
              <w:sz w:val="18"/>
              <w:szCs w:val="18"/>
            </w:rPr>
          </w:pPr>
          <w:r w:rsidRPr="0073274E">
            <w:rPr>
              <w:rFonts w:cs="Arial"/>
              <w:color w:val="595959"/>
              <w:sz w:val="18"/>
              <w:szCs w:val="18"/>
            </w:rPr>
            <w:t>Документ доступен на сайте</w:t>
          </w:r>
        </w:p>
        <w:p w:rsidR="00464161" w:rsidRPr="0073274E" w:rsidRDefault="00464161" w:rsidP="00DF1A4F">
          <w:pPr>
            <w:pStyle w:val="a3"/>
            <w:jc w:val="right"/>
            <w:rPr>
              <w:color w:val="595959"/>
              <w:sz w:val="18"/>
              <w:szCs w:val="18"/>
            </w:rPr>
          </w:pPr>
          <w:hyperlink r:id="rId2" w:history="1">
            <w:r w:rsidRPr="0073274E">
              <w:rPr>
                <w:rStyle w:val="a7"/>
                <w:rFonts w:cs="Arial"/>
                <w:color w:val="595959"/>
                <w:sz w:val="18"/>
                <w:szCs w:val="18"/>
              </w:rPr>
              <w:t xml:space="preserve">Страховой </w:t>
            </w:r>
            <w:proofErr w:type="spellStart"/>
            <w:r w:rsidRPr="0073274E">
              <w:rPr>
                <w:rStyle w:val="a7"/>
                <w:rFonts w:cs="Arial"/>
                <w:color w:val="595959"/>
                <w:sz w:val="18"/>
                <w:szCs w:val="18"/>
              </w:rPr>
              <w:t>Портал.ру</w:t>
            </w:r>
            <w:proofErr w:type="spellEnd"/>
          </w:hyperlink>
        </w:p>
      </w:tc>
    </w:tr>
  </w:tbl>
  <w:p w:rsidR="00464161" w:rsidRDefault="004641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230"/>
    <w:rsid w:val="00295D7D"/>
    <w:rsid w:val="00464161"/>
    <w:rsid w:val="00634775"/>
    <w:rsid w:val="00696585"/>
    <w:rsid w:val="009A64E8"/>
    <w:rsid w:val="00A5493C"/>
    <w:rsid w:val="00B52230"/>
    <w:rsid w:val="00F2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161"/>
  </w:style>
  <w:style w:type="paragraph" w:styleId="a5">
    <w:name w:val="footer"/>
    <w:basedOn w:val="a"/>
    <w:link w:val="a6"/>
    <w:uiPriority w:val="99"/>
    <w:semiHidden/>
    <w:unhideWhenUsed/>
    <w:rsid w:val="0046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161"/>
  </w:style>
  <w:style w:type="character" w:styleId="a7">
    <w:name w:val="Hyperlink"/>
    <w:uiPriority w:val="99"/>
    <w:unhideWhenUsed/>
    <w:rsid w:val="00464161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32122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ur-port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Страховой портал. ру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заболеваний для установления группы наблюдения</dc:title>
  <dc:subject/>
  <dc:creator>Страховой Портал. ру</dc:creator>
  <cp:keywords>группы наблюдения, перечень заболеваний</cp:keywords>
  <dc:description/>
  <cp:lastModifiedBy>Lenovo</cp:lastModifiedBy>
  <cp:revision>3</cp:revision>
  <dcterms:created xsi:type="dcterms:W3CDTF">2017-09-15T07:28:00Z</dcterms:created>
  <dcterms:modified xsi:type="dcterms:W3CDTF">2017-11-06T07:51:00Z</dcterms:modified>
</cp:coreProperties>
</file>